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31" w:rsidRPr="00D052C3" w:rsidRDefault="00D052C3" w:rsidP="009179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3399"/>
          <w:sz w:val="56"/>
          <w:szCs w:val="56"/>
        </w:rPr>
        <w:t xml:space="preserve">      </w:t>
      </w:r>
      <w:r w:rsidR="00E4655C" w:rsidRPr="00D052C3"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</w:rPr>
        <w:t>American University of Prague</w:t>
      </w:r>
    </w:p>
    <w:p w:rsidR="00F512F3" w:rsidRDefault="00E4655C" w:rsidP="00E4655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</w:pPr>
      <w:r w:rsidRPr="00D052C3">
        <w:rPr>
          <w:rFonts w:ascii="Times New Roman" w:eastAsia="Times New Roman" w:hAnsi="Times New Roman" w:cs="Times New Roman"/>
          <w:color w:val="1F497D" w:themeColor="text2"/>
          <w:sz w:val="40"/>
          <w:szCs w:val="40"/>
        </w:rPr>
        <w:t xml:space="preserve">                 </w:t>
      </w:r>
      <w:r w:rsidR="00D052C3">
        <w:rPr>
          <w:rFonts w:ascii="Times New Roman" w:eastAsia="Times New Roman" w:hAnsi="Times New Roman" w:cs="Times New Roman"/>
          <w:color w:val="1F497D" w:themeColor="text2"/>
          <w:sz w:val="40"/>
          <w:szCs w:val="40"/>
        </w:rPr>
        <w:t xml:space="preserve">  </w:t>
      </w:r>
      <w:r w:rsidRPr="00D052C3">
        <w:rPr>
          <w:rFonts w:ascii="Times New Roman" w:eastAsia="Times New Roman" w:hAnsi="Times New Roman" w:cs="Times New Roman"/>
          <w:color w:val="1F497D" w:themeColor="text2"/>
          <w:sz w:val="40"/>
          <w:szCs w:val="40"/>
        </w:rPr>
        <w:t xml:space="preserve">  </w:t>
      </w:r>
      <w:r w:rsidRPr="00D052C3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  <w:t>Prague Humanities Institute</w:t>
      </w:r>
    </w:p>
    <w:p w:rsidR="00D052C3" w:rsidRDefault="00D052C3" w:rsidP="00E4655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  <w:t xml:space="preserve">                                 Digital Library</w:t>
      </w:r>
    </w:p>
    <w:p w:rsidR="00D052C3" w:rsidRDefault="00D052C3" w:rsidP="00E4655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  <w:t xml:space="preserve">                                 </w:t>
      </w:r>
    </w:p>
    <w:p w:rsidR="00D052C3" w:rsidRPr="00D052C3" w:rsidRDefault="00D052C3" w:rsidP="00E4655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D052C3">
        <w:rPr>
          <w:rFonts w:ascii="Times New Roman" w:eastAsia="Times New Roman" w:hAnsi="Times New Roman" w:cs="Times New Roman"/>
          <w:b/>
          <w:color w:val="1F497D" w:themeColor="text2"/>
          <w:sz w:val="20"/>
          <w:szCs w:val="20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F497D" w:themeColor="text2"/>
          <w:sz w:val="20"/>
          <w:szCs w:val="20"/>
        </w:rPr>
        <w:t xml:space="preserve">                                  </w:t>
      </w:r>
      <w:r w:rsidRPr="00D052C3">
        <w:rPr>
          <w:rFonts w:ascii="Times New Roman" w:eastAsia="Times New Roman" w:hAnsi="Times New Roman" w:cs="Times New Roman"/>
          <w:b/>
          <w:color w:val="1F497D" w:themeColor="text2"/>
          <w:sz w:val="20"/>
          <w:szCs w:val="20"/>
        </w:rPr>
        <w:t xml:space="preserve"> (www.prague-humanities-institute.com</w:t>
      </w:r>
      <w:r w:rsidRPr="00D052C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)</w:t>
      </w:r>
    </w:p>
    <w:p w:rsidR="00E4655C" w:rsidRPr="00D052C3" w:rsidRDefault="00D052C3" w:rsidP="0080182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23232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3399"/>
          <w:sz w:val="56"/>
          <w:szCs w:val="56"/>
        </w:rPr>
        <w:t xml:space="preserve">                  </w:t>
      </w:r>
    </w:p>
    <w:p w:rsidR="00281BB7" w:rsidRPr="00801822" w:rsidRDefault="00281BB7" w:rsidP="00801822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323232"/>
          <w:sz w:val="17"/>
          <w:szCs w:val="17"/>
        </w:rPr>
      </w:pPr>
    </w:p>
    <w:p w:rsidR="00D052C3" w:rsidRPr="00D052C3" w:rsidRDefault="00801822" w:rsidP="00801822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23232"/>
          <w:sz w:val="17"/>
          <w:szCs w:val="17"/>
        </w:rPr>
      </w:pPr>
      <w:r>
        <w:rPr>
          <w:rFonts w:ascii="Verdana" w:eastAsia="Times New Roman" w:hAnsi="Verdana" w:cs="Times New Roman"/>
          <w:color w:val="323232"/>
          <w:sz w:val="17"/>
          <w:szCs w:val="17"/>
        </w:rPr>
        <w:t xml:space="preserve">                                                   </w:t>
      </w:r>
      <w:r w:rsidRPr="00E4655C">
        <w:rPr>
          <w:rFonts w:ascii="Verdana" w:eastAsia="Times New Roman" w:hAnsi="Verdana" w:cs="Times New Roman"/>
          <w:noProof/>
          <w:color w:val="4F81BD" w:themeColor="accent1"/>
          <w:sz w:val="17"/>
          <w:szCs w:val="17"/>
        </w:rPr>
        <w:drawing>
          <wp:inline distT="0" distB="0" distL="0" distR="0">
            <wp:extent cx="1819275" cy="2857500"/>
            <wp:effectExtent l="19050" t="0" r="9525" b="0"/>
            <wp:docPr id="1" name="Picture 1" descr="Sacred Books of the East - free pdf downloa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red Books of the East - free pdf downloa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52C3">
        <w:rPr>
          <w:rFonts w:ascii="Verdana" w:eastAsia="Times New Roman" w:hAnsi="Verdana" w:cs="Times New Roman"/>
          <w:color w:val="323232"/>
          <w:sz w:val="17"/>
          <w:szCs w:val="17"/>
        </w:rPr>
        <w:t xml:space="preserve">                                                  </w:t>
      </w:r>
    </w:p>
    <w:p w:rsidR="00801822" w:rsidRDefault="00801822" w:rsidP="00801822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b/>
          <w:color w:val="4F81BD" w:themeColor="accent1"/>
          <w:sz w:val="17"/>
          <w:szCs w:val="17"/>
        </w:rPr>
      </w:pPr>
    </w:p>
    <w:p w:rsidR="00D052C3" w:rsidRDefault="00D052C3" w:rsidP="00801822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b/>
          <w:color w:val="4F81BD" w:themeColor="accent1"/>
          <w:sz w:val="17"/>
          <w:szCs w:val="17"/>
        </w:rPr>
      </w:pPr>
    </w:p>
    <w:p w:rsidR="00D052C3" w:rsidRDefault="00D052C3" w:rsidP="0080182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</w:rPr>
      </w:pPr>
      <w:r w:rsidRPr="00D052C3">
        <w:rPr>
          <w:rFonts w:ascii="Times New Roman" w:eastAsia="Times New Roman" w:hAnsi="Times New Roman" w:cs="Times New Roman"/>
          <w:b/>
          <w:color w:val="0F243E" w:themeColor="text2" w:themeShade="80"/>
          <w:sz w:val="56"/>
          <w:szCs w:val="56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56"/>
          <w:szCs w:val="56"/>
        </w:rPr>
        <w:t xml:space="preserve"> </w:t>
      </w:r>
      <w:r w:rsidR="00323084">
        <w:rPr>
          <w:rFonts w:ascii="Times New Roman" w:eastAsia="Times New Roman" w:hAnsi="Times New Roman" w:cs="Times New Roman"/>
          <w:b/>
          <w:color w:val="0F243E" w:themeColor="text2" w:themeShade="80"/>
          <w:sz w:val="56"/>
          <w:szCs w:val="56"/>
        </w:rPr>
        <w:t xml:space="preserve">  </w:t>
      </w:r>
      <w:r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</w:rPr>
        <w:t>Sacred Books of the East</w:t>
      </w:r>
    </w:p>
    <w:p w:rsidR="00D052C3" w:rsidRDefault="00D052C3" w:rsidP="0080182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</w:rPr>
      </w:pPr>
      <w:r w:rsidRPr="00D052C3"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</w:rPr>
        <w:t xml:space="preserve"> </w:t>
      </w:r>
      <w:proofErr w:type="gramStart"/>
      <w:r w:rsidRPr="00D052C3"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</w:rPr>
        <w:t>in</w:t>
      </w:r>
      <w:proofErr w:type="gramEnd"/>
      <w:r w:rsidRPr="00D052C3"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</w:rPr>
        <w:t xml:space="preserve"> 50 Volumes</w:t>
      </w:r>
    </w:p>
    <w:p w:rsidR="00D052C3" w:rsidRDefault="00D052C3" w:rsidP="00801822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b/>
          <w:color w:val="4F81BD" w:themeColor="accent1"/>
          <w:sz w:val="17"/>
          <w:szCs w:val="17"/>
        </w:rPr>
      </w:pPr>
    </w:p>
    <w:p w:rsidR="00D052C3" w:rsidRPr="00AD4231" w:rsidRDefault="00D052C3" w:rsidP="00801822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b/>
          <w:color w:val="4F81BD" w:themeColor="accent1"/>
          <w:sz w:val="17"/>
          <w:szCs w:val="17"/>
        </w:rPr>
      </w:pPr>
    </w:p>
    <w:p w:rsidR="00D052C3" w:rsidRPr="00D052C3" w:rsidRDefault="00E4655C" w:rsidP="00D052C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       </w:t>
      </w:r>
      <w:r w:rsidR="00801822"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The </w:t>
      </w:r>
      <w:r w:rsid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“</w:t>
      </w:r>
      <w:r w:rsidR="00801822"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Sacred Books of the East</w:t>
      </w:r>
      <w:r w:rsid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”</w:t>
      </w:r>
      <w:r w:rsidR="00801822"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is an enormous project undertaken by </w:t>
      </w:r>
      <w:r w:rsidR="00703D6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the oriental scholar </w:t>
      </w:r>
      <w:r w:rsid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F. </w:t>
      </w:r>
      <w:hyperlink r:id="rId7" w:tooltip="Max Müller" w:history="1">
        <w:r w:rsidR="00801822" w:rsidRPr="00AD4231">
          <w:rPr>
            <w:rFonts w:ascii="Times New Roman" w:eastAsia="Times New Roman" w:hAnsi="Times New Roman" w:cs="Times New Roman"/>
            <w:b/>
            <w:color w:val="1F497D" w:themeColor="text2"/>
            <w:sz w:val="24"/>
            <w:szCs w:val="24"/>
          </w:rPr>
          <w:t xml:space="preserve">Max </w:t>
        </w:r>
        <w:proofErr w:type="spellStart"/>
        <w:r w:rsidR="00801822" w:rsidRPr="00AD4231">
          <w:rPr>
            <w:rFonts w:ascii="Times New Roman" w:eastAsia="Times New Roman" w:hAnsi="Times New Roman" w:cs="Times New Roman"/>
            <w:b/>
            <w:color w:val="1F497D" w:themeColor="text2"/>
            <w:sz w:val="24"/>
            <w:szCs w:val="24"/>
          </w:rPr>
          <w:t>Müller</w:t>
        </w:r>
        <w:proofErr w:type="spellEnd"/>
      </w:hyperlink>
      <w:r w:rsidR="002361C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together</w:t>
      </w:r>
      <w:r w:rsidR="00703D6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with </w:t>
      </w:r>
      <w:r w:rsidR="002361C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other oriental translators</w:t>
      </w:r>
      <w:r w:rsidR="00801822"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. The </w:t>
      </w:r>
      <w:r w:rsid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oriental scholars</w:t>
      </w:r>
      <w:r w:rsidR="00801822"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work was published by Oxford University</w:t>
      </w:r>
      <w:r w:rsidR="002361C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between </w:t>
      </w:r>
      <w:r w:rsidR="00461B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the years </w:t>
      </w:r>
      <w:r w:rsidR="00703D6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1879 to 1910</w:t>
      </w:r>
      <w:r w:rsidR="00801822"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703D6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by Oxford University </w:t>
      </w:r>
      <w:r w:rsidR="00801822"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Press</w:t>
      </w:r>
      <w:r w:rsidR="00461B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, UK</w:t>
      </w:r>
      <w:r w:rsidR="002361C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;</w:t>
      </w:r>
      <w:r w:rsidR="00461B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to this day many of the </w:t>
      </w:r>
      <w:r w:rsidR="00801822"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translations</w:t>
      </w:r>
      <w:r w:rsidR="00461B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in the 50 volume series</w:t>
      </w:r>
      <w:r w:rsidR="00801822"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461B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initially </w:t>
      </w:r>
      <w:r w:rsidR="00703D6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prepared </w:t>
      </w:r>
      <w:r w:rsidR="002361C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by F. Max Muller and his associates </w:t>
      </w:r>
      <w:r w:rsidR="00801822"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are the only </w:t>
      </w:r>
      <w:r w:rsidR="002361C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existing translations</w:t>
      </w:r>
      <w:r w:rsidR="00461B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now</w:t>
      </w:r>
      <w:r w:rsidR="002361C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available in the West</w:t>
      </w:r>
      <w:r w:rsidR="00801822"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. It is </w:t>
      </w:r>
      <w:r w:rsidR="002361C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still </w:t>
      </w:r>
      <w:r w:rsidR="00801822"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not pos</w:t>
      </w:r>
      <w:r w:rsidR="00461B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sible to buy the complete set </w:t>
      </w:r>
      <w:r w:rsidR="002361C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of “The Sacred Books of the East” </w:t>
      </w:r>
      <w:r w:rsidR="00461B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(50 volumes) </w:t>
      </w:r>
      <w:r w:rsidR="002361C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at the moment, however, </w:t>
      </w:r>
      <w:r w:rsidR="00DB209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these works</w:t>
      </w:r>
      <w:r w:rsidR="00801822"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703D6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(</w:t>
      </w:r>
      <w:r w:rsid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via </w:t>
      </w:r>
      <w:r w:rsidR="00801822"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Google Books and </w:t>
      </w:r>
      <w:r w:rsid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Microsoft</w:t>
      </w:r>
      <w:r w:rsidR="002361C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)</w:t>
      </w:r>
      <w:r w:rsidR="00DB209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,</w:t>
      </w:r>
      <w:r w:rsidR="002361C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gramStart"/>
      <w:r w:rsidR="00461B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have </w:t>
      </w:r>
      <w:r w:rsid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703D6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been</w:t>
      </w:r>
      <w:proofErr w:type="gramEnd"/>
      <w:r w:rsidR="00703D6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461B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made available in an online </w:t>
      </w:r>
      <w:r w:rsidR="00DB209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format or </w:t>
      </w:r>
      <w:r w:rsidR="00801822"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scan</w:t>
      </w:r>
      <w:r w:rsid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ned </w:t>
      </w:r>
      <w:r w:rsidR="00461B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version </w:t>
      </w:r>
      <w:r w:rsidR="00703D6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for the public </w:t>
      </w:r>
      <w:r w:rsidR="002361C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use </w:t>
      </w:r>
      <w:r w:rsidR="00801822"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from </w:t>
      </w:r>
      <w:r w:rsid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various </w:t>
      </w:r>
      <w:r w:rsidR="00703D6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library collections since they </w:t>
      </w:r>
      <w:r w:rsidR="00461B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have now </w:t>
      </w:r>
      <w:r w:rsidR="002361C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entered </w:t>
      </w:r>
      <w:r w:rsidR="00801822"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in</w:t>
      </w:r>
      <w:r w:rsidR="002361C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to</w:t>
      </w:r>
      <w:r w:rsidR="00801822"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the Public Domain</w:t>
      </w:r>
      <w:r w:rsidR="00703D6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and are no</w:t>
      </w:r>
      <w:r w:rsidR="002361C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longer </w:t>
      </w:r>
      <w:r w:rsidR="002361C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lastRenderedPageBreak/>
        <w:t xml:space="preserve">subject to </w:t>
      </w:r>
      <w:r w:rsidR="00703D6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copyrig</w:t>
      </w:r>
      <w:r w:rsidR="00461B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ht law</w:t>
      </w:r>
      <w:r w:rsidR="0091796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in the United States</w:t>
      </w:r>
      <w:r w:rsidR="002361C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. Moreover, p</w:t>
      </w:r>
      <w:r w:rsidR="00801822"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lease keep in </w:t>
      </w:r>
      <w:r w:rsidR="0091796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mind that </w:t>
      </w:r>
      <w:r w:rsidR="00461B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some of </w:t>
      </w:r>
      <w:r w:rsidR="0091796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these </w:t>
      </w:r>
      <w:r w:rsidR="00461B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existing </w:t>
      </w:r>
      <w:r w:rsidR="0091796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volumes are large</w:t>
      </w:r>
      <w:r w:rsidR="00801822"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461B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and some </w:t>
      </w:r>
      <w:r w:rsidR="00DB209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book </w:t>
      </w:r>
      <w:r w:rsidR="00461B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files consist of</w:t>
      </w:r>
      <w:r w:rsidR="0091796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over 50 MB </w:t>
      </w:r>
      <w:r w:rsidR="00DB209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of memory and may</w:t>
      </w:r>
      <w:r w:rsidR="0091796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contain</w:t>
      </w:r>
      <w:r w:rsidR="00801822"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up to 3.000 pages</w:t>
      </w:r>
      <w:r w:rsidR="00703D6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of text</w:t>
      </w:r>
      <w:r w:rsidR="00801822"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.</w:t>
      </w:r>
      <w:r w:rsidR="00AD4231" w:rsidRP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703D6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The </w:t>
      </w:r>
      <w:r w:rsid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“Sacred Books of the East”</w:t>
      </w:r>
      <w:r w:rsidR="00461B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(all 50 volumes)</w:t>
      </w:r>
      <w:r w:rsid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B6010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is </w:t>
      </w:r>
      <w:r w:rsidR="0091796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now </w:t>
      </w:r>
      <w:r w:rsidR="00703D6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a permanent </w:t>
      </w:r>
      <w:r w:rsidR="00461B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library collection of</w:t>
      </w:r>
      <w:r w:rsidR="00703D6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B6010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Prague Humanities Institute</w:t>
      </w:r>
      <w:r w:rsidR="00461B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and </w:t>
      </w:r>
      <w:r w:rsidR="00B6010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is the centerpiece of PHI’s </w:t>
      </w:r>
      <w:r w:rsidR="00AD423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Digital Library </w:t>
      </w:r>
      <w:r w:rsidR="00B6010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system of books </w:t>
      </w:r>
      <w:r w:rsidR="002361C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which</w:t>
      </w:r>
      <w:r w:rsidR="00B6010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currently</w:t>
      </w:r>
      <w:r w:rsidR="002361C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91796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support PHI’s </w:t>
      </w:r>
      <w:r w:rsidR="00B6010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East-West Studies program, </w:t>
      </w:r>
      <w:r w:rsidR="0091796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philosophy</w:t>
      </w:r>
      <w:r w:rsidR="00B6010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program, </w:t>
      </w:r>
      <w:r w:rsidR="0091796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and </w:t>
      </w:r>
      <w:r w:rsidR="00703D6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Jungian psychology program. </w:t>
      </w:r>
      <w:r w:rsidR="00D052C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All</w:t>
      </w:r>
      <w:r w:rsidR="00B6010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461B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s</w:t>
      </w:r>
      <w:r w:rsidR="00B6010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tudents</w:t>
      </w:r>
      <w:r w:rsidR="0091796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may use these files freely.</w:t>
      </w:r>
    </w:p>
    <w:p w:rsidR="0091796F" w:rsidRDefault="0091796F" w:rsidP="009179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                                  </w:t>
      </w:r>
    </w:p>
    <w:p w:rsidR="0091796F" w:rsidRDefault="0091796F" w:rsidP="009179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                                                    __________________________</w:t>
      </w:r>
    </w:p>
    <w:p w:rsidR="0091796F" w:rsidRDefault="0091796F" w:rsidP="009179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3399"/>
          <w:sz w:val="24"/>
          <w:szCs w:val="24"/>
        </w:rPr>
      </w:pPr>
    </w:p>
    <w:p w:rsidR="0091796F" w:rsidRPr="0091796F" w:rsidRDefault="0091796F" w:rsidP="009179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3399"/>
          <w:sz w:val="32"/>
          <w:szCs w:val="32"/>
        </w:rPr>
      </w:pPr>
    </w:p>
    <w:p w:rsidR="00281BB7" w:rsidRDefault="00281BB7" w:rsidP="009179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3399"/>
          <w:sz w:val="32"/>
          <w:szCs w:val="32"/>
        </w:rPr>
      </w:pPr>
    </w:p>
    <w:p w:rsidR="00323084" w:rsidRDefault="00323084" w:rsidP="009179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3399"/>
          <w:sz w:val="32"/>
          <w:szCs w:val="32"/>
        </w:rPr>
      </w:pPr>
    </w:p>
    <w:p w:rsidR="00DC1DC0" w:rsidRDefault="00DC1DC0" w:rsidP="009179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3399"/>
          <w:sz w:val="32"/>
          <w:szCs w:val="32"/>
        </w:rPr>
      </w:pPr>
    </w:p>
    <w:p w:rsidR="00DC1DC0" w:rsidRDefault="00DC1DC0" w:rsidP="009179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33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3399"/>
          <w:sz w:val="32"/>
          <w:szCs w:val="32"/>
        </w:rPr>
        <w:t xml:space="preserve">                  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00325" cy="3162300"/>
            <wp:effectExtent l="19050" t="0" r="9525" b="0"/>
            <wp:docPr id="4" name="il_fi" descr="http://www.google.cz/url?source=imglanding&amp;ct=img&amp;q=http://1.bp.blogspot.com/-2wc_Ytg7gaE/UKY5AzrJMdI/AAAAAAAABDM/ZojuYtF5_AU/s1600/Max+Mu%CC%88ller.jpg&amp;sa=X&amp;ei=AYP5UJ-ROaSA0AXZ34GIDQ&amp;ved=0CAoQ8wc&amp;usg=AFQjCNEH_O-N8lG-ukJZ9a3RXk5ZM5L8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cz/url?source=imglanding&amp;ct=img&amp;q=http://1.bp.blogspot.com/-2wc_Ytg7gaE/UKY5AzrJMdI/AAAAAAAABDM/ZojuYtF5_AU/s1600/Max+Mu%CC%88ller.jpg&amp;sa=X&amp;ei=AYP5UJ-ROaSA0AXZ34GIDQ&amp;ved=0CAoQ8wc&amp;usg=AFQjCNEH_O-N8lG-ukJZ9a3RXk5ZM5L80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DC0" w:rsidRDefault="00DC1DC0" w:rsidP="009179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3399"/>
          <w:sz w:val="32"/>
          <w:szCs w:val="32"/>
        </w:rPr>
      </w:pPr>
    </w:p>
    <w:p w:rsidR="007B23A8" w:rsidRDefault="00DC1DC0" w:rsidP="007B23A8">
      <w:pPr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3399"/>
          <w:sz w:val="32"/>
          <w:szCs w:val="32"/>
        </w:rPr>
        <w:t xml:space="preserve">                                           </w:t>
      </w:r>
      <w:r w:rsidR="00DB209B" w:rsidRPr="00DB209B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F. Max </w:t>
      </w:r>
      <w:proofErr w:type="spellStart"/>
      <w:r w:rsidR="00DB209B" w:rsidRPr="00DB209B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Mü</w:t>
      </w:r>
      <w:r w:rsidR="00281BB7" w:rsidRPr="00DB209B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ller</w:t>
      </w:r>
      <w:proofErr w:type="spellEnd"/>
    </w:p>
    <w:p w:rsidR="00323084" w:rsidRDefault="00323084" w:rsidP="007B23A8">
      <w:pPr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</w:pPr>
    </w:p>
    <w:p w:rsidR="00B6010D" w:rsidRPr="007B23A8" w:rsidRDefault="007B23A8" w:rsidP="007B23A8">
      <w:pPr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lastRenderedPageBreak/>
        <w:t xml:space="preserve"> </w:t>
      </w:r>
      <w:r w:rsidR="00B6010D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        </w:t>
      </w:r>
      <w:r w:rsidR="00323084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           </w:t>
      </w:r>
      <w:r w:rsidR="00B6010D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 </w:t>
      </w:r>
      <w:r w:rsidR="00B6010D" w:rsidRPr="00B6010D">
        <w:rPr>
          <w:rFonts w:ascii="Times New Roman" w:hAnsi="Times New Roman" w:cs="Times New Roman"/>
          <w:b/>
          <w:noProof/>
          <w:color w:val="1F497D" w:themeColor="text2"/>
          <w:sz w:val="48"/>
          <w:szCs w:val="48"/>
        </w:rPr>
        <w:drawing>
          <wp:inline distT="0" distB="0" distL="0" distR="0">
            <wp:extent cx="2295525" cy="2857500"/>
            <wp:effectExtent l="19050" t="0" r="9525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084" w:rsidRPr="00D052C3" w:rsidRDefault="00B6010D" w:rsidP="003230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</w:rPr>
      </w:pPr>
      <w:r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   </w:t>
      </w:r>
      <w:r w:rsidR="00323084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   </w:t>
      </w:r>
      <w:r w:rsidR="00323084" w:rsidRPr="00D052C3"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</w:rPr>
        <w:t>American University of Prague</w:t>
      </w:r>
    </w:p>
    <w:p w:rsidR="00323084" w:rsidRDefault="00323084" w:rsidP="0032308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</w:pPr>
      <w:r w:rsidRPr="00D052C3">
        <w:rPr>
          <w:rFonts w:ascii="Times New Roman" w:eastAsia="Times New Roman" w:hAnsi="Times New Roman" w:cs="Times New Roman"/>
          <w:color w:val="1F497D" w:themeColor="text2"/>
          <w:sz w:val="40"/>
          <w:szCs w:val="40"/>
        </w:rPr>
        <w:t xml:space="preserve">                 </w:t>
      </w:r>
      <w:r>
        <w:rPr>
          <w:rFonts w:ascii="Times New Roman" w:eastAsia="Times New Roman" w:hAnsi="Times New Roman" w:cs="Times New Roman"/>
          <w:color w:val="1F497D" w:themeColor="text2"/>
          <w:sz w:val="40"/>
          <w:szCs w:val="40"/>
        </w:rPr>
        <w:t xml:space="preserve">    </w:t>
      </w:r>
      <w:r w:rsidRPr="00D052C3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  <w:t>Prague Humanities Institute</w:t>
      </w:r>
    </w:p>
    <w:p w:rsidR="00323084" w:rsidRDefault="00323084" w:rsidP="0032308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  <w:t xml:space="preserve">                               Digital Library</w:t>
      </w:r>
    </w:p>
    <w:p w:rsidR="00323084" w:rsidRDefault="00B6010D" w:rsidP="00281BB7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           </w:t>
      </w:r>
    </w:p>
    <w:p w:rsidR="00281BB7" w:rsidRPr="00323084" w:rsidRDefault="00323084" w:rsidP="00281B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</w:pPr>
      <w:r w:rsidRPr="00323084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            </w:t>
      </w:r>
      <w:r w:rsidR="00DB209B" w:rsidRPr="00323084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 </w:t>
      </w:r>
      <w:r w:rsidR="00281BB7" w:rsidRPr="00323084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  <w:t xml:space="preserve">(THE SACRED BOOKS OF THE EAST) </w:t>
      </w:r>
    </w:p>
    <w:p w:rsidR="00281BB7" w:rsidRPr="00323084" w:rsidRDefault="00281BB7" w:rsidP="00281B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</w:pPr>
      <w:r w:rsidRPr="00323084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  <w:t xml:space="preserve">                                </w:t>
      </w:r>
      <w:r w:rsidR="00FF3A28" w:rsidRPr="00323084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  <w:t xml:space="preserve">        </w:t>
      </w:r>
      <w:r w:rsidR="00323084" w:rsidRPr="00323084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  <w:t xml:space="preserve">  </w:t>
      </w:r>
      <w:r w:rsidRPr="00323084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  <w:t xml:space="preserve">IN 50 VOLUMES </w:t>
      </w:r>
    </w:p>
    <w:p w:rsidR="00DB209B" w:rsidRPr="00323084" w:rsidRDefault="00DB209B" w:rsidP="00281B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</w:pPr>
    </w:p>
    <w:p w:rsidR="00DB209B" w:rsidRPr="00323084" w:rsidRDefault="00DB209B" w:rsidP="00281B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</w:pPr>
      <w:r w:rsidRPr="00323084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  <w:t xml:space="preserve">                                                     *****</w:t>
      </w:r>
    </w:p>
    <w:p w:rsidR="00DB209B" w:rsidRDefault="00DB209B" w:rsidP="00281BB7"/>
    <w:p w:rsidR="00801822" w:rsidRPr="00281BB7" w:rsidRDefault="00942ACF" w:rsidP="00281BB7">
      <w:pPr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hyperlink r:id="rId10" w:tgtFrame="_blank" w:tooltip="1. The Upanishads, Part 1 of 2. Chandogya Upanishad. Talavakara (Kena) Upanishad. Aitareya Upanishad. Kausitaki Upanishad. Vajasaneyi (Isa) Upanishad." w:history="1">
        <w:r w:rsidR="00801822" w:rsidRPr="0091796F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1. The Upanishads, Part 1 of 2. </w:t>
        </w:r>
        <w:proofErr w:type="spellStart"/>
        <w:r w:rsidR="00801822" w:rsidRPr="0091796F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Chandogya</w:t>
        </w:r>
        <w:proofErr w:type="spellEnd"/>
        <w:r w:rsidR="00801822" w:rsidRPr="0091796F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Upanishad. </w:t>
        </w:r>
        <w:proofErr w:type="spellStart"/>
        <w:proofErr w:type="gramStart"/>
        <w:r w:rsidR="00801822" w:rsidRPr="0091796F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Talavakara</w:t>
        </w:r>
        <w:proofErr w:type="spellEnd"/>
        <w:r w:rsidR="00801822" w:rsidRPr="0091796F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(</w:t>
        </w:r>
        <w:proofErr w:type="spellStart"/>
        <w:r w:rsidR="00801822" w:rsidRPr="0091796F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Kena</w:t>
        </w:r>
        <w:proofErr w:type="spellEnd"/>
        <w:r w:rsidR="00801822" w:rsidRPr="0091796F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) Upanishad.</w:t>
        </w:r>
        <w:proofErr w:type="gramEnd"/>
        <w:r w:rsidR="00801822" w:rsidRPr="0091796F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91796F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Aitareya</w:t>
        </w:r>
        <w:proofErr w:type="spellEnd"/>
        <w:r w:rsidR="00801822" w:rsidRPr="0091796F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Upanishad. </w:t>
        </w:r>
        <w:proofErr w:type="spellStart"/>
        <w:r w:rsidR="00801822" w:rsidRPr="0091796F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Kausitaki</w:t>
        </w:r>
        <w:proofErr w:type="spellEnd"/>
        <w:r w:rsidR="00801822" w:rsidRPr="0091796F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Upanishad. </w:t>
        </w:r>
        <w:proofErr w:type="spellStart"/>
        <w:proofErr w:type="gramStart"/>
        <w:r w:rsidR="00801822" w:rsidRPr="0091796F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Vajasaneyi</w:t>
        </w:r>
        <w:proofErr w:type="spellEnd"/>
        <w:r w:rsidR="00801822" w:rsidRPr="0091796F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(Isa) Upanishad.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11" w:tgtFrame="_blank" w:tooltip="2. The Sacred Laws of the Aryas, vol. 1 of 2. The sacred laws of the Aryas as taught in the school of Apastamba, Gautama, Vâsishtha, and Baudhâyana. pt. I. Apastamba and Gautama. (The Dharma Sutras).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2. The Sacred Laws of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Aryas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vol. 1 of 2. The sacred laws of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Aryas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as taught in the school of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Apastamba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Gautama,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Vâsishtha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and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Baudhâyana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pt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. I.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Apastamba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and Gautama.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(The Dharma Sutras).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12" w:tgtFrame="_blank" w:tooltip="3. The Sacred Books of China, vol. 1 of 6. Part I of The Texts of Confucianism. The Shû king (Classic of History). The religions portions of the Shih king (Classic of Poetry). The Hsiâo king (Xiao Jing).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3. The Sacred Books of China, vol. 1 of 6. Part I of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The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Texts of Confucianism.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Shû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king (Classic of History). The religions portions of the Shih king (Classic of Poetry).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Hsiâo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king (Xiao Jing).</w:t>
        </w:r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13" w:tgtFrame="_blank" w:tooltip="4. The Zend-Avesta, vol. 1 of 3. The Vendîdâd.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4. The Zend-Avesta, vol. 1 of 3.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Vendîdâd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14" w:tgtFrame="_blank" w:tooltip="5. Pahlavi Texts, vol. 1 of 5. The Bundahis, Bahman Yast, and Shayast La-Shayast.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5. Pahlavi Texts, vol. 1 of 5.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Bundahis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Bahman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Yast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and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Shayast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La-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Shayast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15" w:tgtFrame="_blank" w:tooltip="6. The Qur'an, vol. 1 of 2.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6. The Qur’an, vol. 1 of 2.</w:t>
        </w:r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16" w:tgtFrame="_blank" w:tooltip="7. The Institutes of Visnu.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7. The Institutes of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Visnu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.</w:t>
        </w:r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17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8.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Bhagavadgita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With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Sanatsugâtiya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and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Anugitâ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.</w:t>
        </w:r>
      </w:hyperlink>
    </w:p>
    <w:p w:rsidR="00801822" w:rsidRPr="00F512F3" w:rsidRDefault="00801822" w:rsidP="0080182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F512F3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(We have several other translations of the </w:t>
      </w:r>
      <w:hyperlink r:id="rId18" w:tgtFrame="_blank" w:tooltip="Bhagavad Gita PDF ebooks download here" w:history="1">
        <w:proofErr w:type="spellStart"/>
        <w:r w:rsidRPr="00F512F3">
          <w:rPr>
            <w:rFonts w:ascii="Times New Roman" w:eastAsia="Times New Roman" w:hAnsi="Times New Roman" w:cs="Times New Roman"/>
            <w:b/>
            <w:bCs/>
            <w:i/>
            <w:iCs/>
            <w:color w:val="1F497D" w:themeColor="text2"/>
            <w:sz w:val="24"/>
            <w:szCs w:val="24"/>
          </w:rPr>
          <w:t>Bhagavad</w:t>
        </w:r>
        <w:proofErr w:type="spellEnd"/>
        <w:r w:rsidRPr="00F512F3">
          <w:rPr>
            <w:rFonts w:ascii="Times New Roman" w:eastAsia="Times New Roman" w:hAnsi="Times New Roman" w:cs="Times New Roman"/>
            <w:b/>
            <w:bCs/>
            <w:i/>
            <w:iCs/>
            <w:color w:val="1F497D" w:themeColor="text2"/>
            <w:sz w:val="24"/>
            <w:szCs w:val="24"/>
          </w:rPr>
          <w:t xml:space="preserve"> </w:t>
        </w:r>
        <w:proofErr w:type="spellStart"/>
        <w:r w:rsidRPr="00F512F3">
          <w:rPr>
            <w:rFonts w:ascii="Times New Roman" w:eastAsia="Times New Roman" w:hAnsi="Times New Roman" w:cs="Times New Roman"/>
            <w:b/>
            <w:bCs/>
            <w:i/>
            <w:iCs/>
            <w:color w:val="1F497D" w:themeColor="text2"/>
            <w:sz w:val="24"/>
            <w:szCs w:val="24"/>
          </w:rPr>
          <w:t>Gita</w:t>
        </w:r>
        <w:proofErr w:type="spellEnd"/>
        <w:r w:rsidRPr="00F512F3">
          <w:rPr>
            <w:rFonts w:ascii="Times New Roman" w:eastAsia="Times New Roman" w:hAnsi="Times New Roman" w:cs="Times New Roman"/>
            <w:color w:val="1F497D" w:themeColor="text2"/>
            <w:sz w:val="24"/>
            <w:szCs w:val="24"/>
          </w:rPr>
          <w:t>, here: Link</w:t>
        </w:r>
      </w:hyperlink>
      <w:r w:rsidRPr="00F512F3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)</w:t>
      </w:r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19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9. The Qur’an, vol. 2 of 2.</w:t>
        </w:r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20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10.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Dhammapada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and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Sutta-Nipâta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a collection of discourses; being one of the canonical books of the Buddhists, translated from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Pāli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; and The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Dhammapada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a collection of verses, translated from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Pāli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.</w:t>
        </w:r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21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11. Buddhist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Suttas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.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Mahâ-parinibbâna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Suttanta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Dhamma-kakka-ppavattana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Sutta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Tevigga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Sutta’anta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Âkankheyya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Sutta’a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Ketokhila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Sutta’a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Mahâ-Sudassana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Sutta’anta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Sabbâsava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Sutta’a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.</w:t>
        </w:r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22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12.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The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Satapatha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Brahmana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according to the text of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Mâdhyandina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school, vol. 1 of 5.</w:t>
        </w:r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23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13.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Vinaya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Texts, vol. 1 of 3.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Patimokkha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.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Mahavagga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, I-IV.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24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14. The Sacred Laws of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Aryas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vol. 2 of 2. The sacred laws of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Aryas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as taught in the school of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Apastamba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Gautama,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Vâsishtha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and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Baudhâyana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pt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. II. </w:t>
        </w:r>
        <w:proofErr w:type="spellStart"/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Vâsishtha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and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Baudhâyana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25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15.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The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Upanishads, part 2 of 2.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Katha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Upanishad.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Mundaka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Upanishad.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Taittiriya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Upanishad.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Brhadaranyaka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Upanishad.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Svetasvatara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Upanishad.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Prasña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Upanishad.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Maitrayani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Upanishad.</w:t>
        </w:r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26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16. The Sacred Books of China, vol. 2 of 6. Part II of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The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Texts of Confucianism. The Yi King: (I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Ching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).</w:t>
        </w:r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27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17.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Vinaya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Texts, vol. 2 of 3.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Mahavagga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V-X,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Kullavagga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I-II.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28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18. Pahlavi Texts, vol. 2 of 5.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Dâdistân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-î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Dinik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and the Epistles of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Mânûskîhar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29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19.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Fo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-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sho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-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hing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-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tsan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-king, a life of Buddha, by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Ashvaghosha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Bodhisattva; translated from Sanskrit into Chinese by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Dharmaraksha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, A. D. 420.</w:t>
        </w:r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30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20.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Vinaya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Texts, vol. 3 of 3.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Kullavagga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, IV-XII.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31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21.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Saddharma-Pundarika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or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The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Lotus of the True Law.</w:t>
        </w:r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32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22.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Jaina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Sûtras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vol. 1 of 2, translated from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Prâkrit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Âkârânga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sûtra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.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Kalpa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sûtra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33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23. The Zend-Avesta, vol. 2 of 3.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Sîrôzahs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Yasts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and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Nyâyis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34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24. Pahlavi Texts, vol. 3 of 5. </w:t>
        </w:r>
        <w:proofErr w:type="spellStart"/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Dinai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Mainög-i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khirad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Sikand-Gümanik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Vigar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, Sad Dar.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35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25. The Laws of Manu.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Translated, with extracts from seven commentaries.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36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26.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The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Satapatha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Brahmana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according to the text of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Mâdhyandina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school, vol. 2 of 5, Books III-IV</w:t>
        </w:r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37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27. The Sacred Books of China, vol. 3 of 6. Part III of the texts of Confucianism.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Lî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Kî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(Book of Rites), part 1 of 2.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38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28. The Sacred Books of China, vol. 4 of 6. Part IV of the texts of Confucianism.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Lî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Kî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(Book of Rites), part 2 of 2.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39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29.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Grihya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-sutras; rules of Vedic domestic ceremonies.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vol. 1 of 2.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Sankhyayana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-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Grihya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-sutra.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Asvalayana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-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Grihya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-sutra.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Paraskara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-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Grihya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-sutra.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Khadia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-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Grihya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-sutra.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40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30.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Grihya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-sutras; rules of Vedic domestic ceremonies.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vol. 2 of 2.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Gobhila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Hiranyakesin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Apastamba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(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Olderberg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);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Yajña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Paribhashasutras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(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Müller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).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41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31. The Zend-Avesta, vol. 3 of 3.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Yasna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Visparad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Afrînagân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Gâhs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, and miscellaneous fragments.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42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32. Vedic Hymns, vol. 1 of 2. Hymns to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Maruts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Rudra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Vâyu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and </w:t>
        </w:r>
        <w:proofErr w:type="spellStart"/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Vâta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.,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with a bibliographical list of the more important publications on the Rig-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veda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.</w:t>
        </w:r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43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33. The Minor Law-Books: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Brihaspati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(Part 1 of 1).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44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34. The Vedanta-Sutras, vol. 1 of 3.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Commentary by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Sankaracharya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, part 1 of 2.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Adhyâya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I-II (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Pâda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I-II).</w:t>
        </w:r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45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35. The Questions of King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Milinda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vol. 1 of 2. </w:t>
        </w:r>
        <w:proofErr w:type="spellStart"/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Milindapañha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46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36. The Questions of King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Milinda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vol. 2 of 2. </w:t>
        </w:r>
        <w:proofErr w:type="spellStart"/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Milindapañha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47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37. Pahlavi Texts, vol. 4 of 5.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Contents of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Nasks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48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38.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The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Vedanta-Sutras, vol. 2 of 3, commentary by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Sankaracharya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part 1 of 2.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Adhyâya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II (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Pâda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III-IV) -IV.</w:t>
        </w:r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49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39. The Texts of Taoism, Part 1 of 2.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The Sacred Books of China, vol. 5 of 6.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Also: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Tâo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the king (Tao </w:t>
        </w:r>
        <w:proofErr w:type="spellStart"/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te</w:t>
        </w:r>
        <w:proofErr w:type="spellEnd"/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Ching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): The writings of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Kwang-tze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, books I-XVII.</w:t>
        </w:r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50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40. The Texts of Taoism, Part 2 of 2. Includes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The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Writings of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Kwang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Tse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books XVII-XXXIII,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Thâi-shang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tractate of actions and their retributions, other Taoist texts, and the Index to vols. 39 and 40.</w:t>
        </w:r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51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41.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The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Satapatha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Brahmana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according to the text of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Mâdhyandina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school, vol. 3 of 5. Books V, VI, VII.</w:t>
        </w:r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52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42. Hymns of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Atharvaveda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Together With Extracts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From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the Ritual Books and the Commentaries.</w:t>
        </w:r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53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43.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The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Satapatha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Brahmana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according to the text of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Mâdhyandina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school, vol. 4 of 5, Books VII, IX, X.</w:t>
        </w:r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54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44.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The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Satapatha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Brahmana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according to the text of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Mâdhyandina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school, vol. 5 of 5, Books XI, XII, XIII, XIV.</w:t>
        </w:r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55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45.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Jaina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Sûtras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vol. 2 of 2, translated from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Prâkrit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.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Uttarâdhyayana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Sûtra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The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Sûtrakritânga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Sûtra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.</w:t>
        </w:r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56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46. Vedic Hymns, vol. 2 of 2.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Hymns to Agni (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Mandalas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I-V).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57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47. Pahlavi Texts, vol. 5 of 5.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Marvels of Zoroastrianism.</w:t>
        </w:r>
        <w:proofErr w:type="gramEnd"/>
      </w:hyperlink>
    </w:p>
    <w:p w:rsidR="00801822" w:rsidRPr="00F512F3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hyperlink r:id="rId58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48.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The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Vedanta-Sutras, vol. 3 of 3, with the commentary of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Râmânuja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.</w:t>
        </w:r>
      </w:hyperlink>
    </w:p>
    <w:p w:rsidR="00323084" w:rsidRDefault="00942ACF" w:rsidP="00801822">
      <w:pPr>
        <w:shd w:val="clear" w:color="auto" w:fill="FFFFFF"/>
        <w:spacing w:before="100" w:beforeAutospacing="1" w:after="100" w:afterAutospacing="1" w:line="270" w:lineRule="atLeast"/>
        <w:outlineLvl w:val="3"/>
      </w:pPr>
      <w:hyperlink r:id="rId59" w:tgtFrame="_blank" w:history="1"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49. Buddhist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Mahâyâna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Texts.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Part 1.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The Buddha-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karita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of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Asvaghosha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translated from the Sanskrit by E. B.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Cowell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.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Part 2.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The larger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Sukhâvatî-vyûha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the smaller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Sukhâvatî-vyûha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Vagrakkedikâ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the larger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Pragñâ-pâramitâ-hridaya-sûtra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the smaller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Pragñâ-pâramitâ-hridaya-sûtra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translated by F. Max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Müller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.</w:t>
        </w:r>
        <w:proofErr w:type="gram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gram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The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Amitâyur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dhyâna-sûtra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 xml:space="preserve">, translated by J. </w:t>
        </w:r>
        <w:proofErr w:type="spellStart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Takakusu</w:t>
        </w:r>
        <w:proofErr w:type="spellEnd"/>
        <w:r w:rsidR="00801822" w:rsidRPr="00F512F3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</w:rPr>
          <w:t>.</w:t>
        </w:r>
        <w:proofErr w:type="gramEnd"/>
      </w:hyperlink>
      <w:r w:rsidR="00B6010D">
        <w:t xml:space="preserve">                   </w:t>
      </w:r>
    </w:p>
    <w:p w:rsidR="00323084" w:rsidRDefault="00323084" w:rsidP="00323084">
      <w:pPr>
        <w:shd w:val="clear" w:color="auto" w:fill="FFFFFF"/>
        <w:spacing w:before="100" w:beforeAutospacing="1" w:after="100" w:afterAutospacing="1" w:line="270" w:lineRule="atLeast"/>
        <w:outlineLvl w:val="3"/>
      </w:pPr>
      <w:r>
        <w:t xml:space="preserve">                              </w:t>
      </w:r>
      <w:r w:rsidR="00B6010D">
        <w:t xml:space="preserve">                       </w:t>
      </w:r>
    </w:p>
    <w:p w:rsidR="00323084" w:rsidRDefault="00323084" w:rsidP="00323084">
      <w:pPr>
        <w:shd w:val="clear" w:color="auto" w:fill="FFFFFF"/>
        <w:spacing w:before="100" w:beforeAutospacing="1" w:after="100" w:afterAutospacing="1" w:line="270" w:lineRule="atLeast"/>
        <w:outlineLvl w:val="3"/>
      </w:pPr>
      <w:r>
        <w:t xml:space="preserve">                                                     </w:t>
      </w:r>
      <w:r w:rsidR="007B23A8">
        <w:t xml:space="preserve"> </w:t>
      </w:r>
      <w:r w:rsidR="00B6010D">
        <w:t xml:space="preserve"> </w:t>
      </w:r>
      <w:r w:rsidR="00B6010D" w:rsidRPr="00B6010D">
        <w:rPr>
          <w:noProof/>
        </w:rPr>
        <w:drawing>
          <wp:inline distT="0" distB="0" distL="0" distR="0">
            <wp:extent cx="2152650" cy="2352675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BB7" w:rsidRPr="00323084" w:rsidRDefault="00323084" w:rsidP="00323084">
      <w:pPr>
        <w:shd w:val="clear" w:color="auto" w:fill="FFFFFF"/>
        <w:spacing w:before="100" w:beforeAutospacing="1" w:after="100" w:afterAutospacing="1" w:line="270" w:lineRule="atLeast"/>
        <w:outlineLvl w:val="3"/>
      </w:pPr>
      <w:r>
        <w:lastRenderedPageBreak/>
        <w:t xml:space="preserve">                       </w:t>
      </w:r>
      <w:r w:rsidR="00B6010D" w:rsidRPr="00DC1DC0">
        <w:rPr>
          <w:b/>
          <w:color w:val="1F497D" w:themeColor="text2"/>
          <w:sz w:val="40"/>
          <w:szCs w:val="40"/>
        </w:rPr>
        <w:t>(</w:t>
      </w:r>
      <w:hyperlink r:id="rId61" w:history="1">
        <w:r w:rsidR="00281BB7" w:rsidRPr="00DC1DC0">
          <w:rPr>
            <w:rStyle w:val="Hyperlink"/>
            <w:rFonts w:ascii="Times New Roman" w:hAnsi="Times New Roman" w:cs="Times New Roman"/>
            <w:b/>
            <w:color w:val="1F497D" w:themeColor="text2"/>
            <w:sz w:val="40"/>
            <w:szCs w:val="40"/>
          </w:rPr>
          <w:t>www.prague-humanities-institute.com</w:t>
        </w:r>
      </w:hyperlink>
      <w:r w:rsidR="00B6010D" w:rsidRPr="00DC1DC0">
        <w:rPr>
          <w:b/>
          <w:color w:val="1F497D" w:themeColor="text2"/>
          <w:sz w:val="40"/>
          <w:szCs w:val="40"/>
        </w:rPr>
        <w:t>)</w:t>
      </w:r>
    </w:p>
    <w:p w:rsidR="00FF3A28" w:rsidRDefault="00FF3A28">
      <w:pPr>
        <w:rPr>
          <w:rFonts w:ascii="Times New Roman" w:hAnsi="Times New Roman" w:cs="Times New Roman"/>
          <w:b/>
          <w:color w:val="4F81BD" w:themeColor="accent1"/>
          <w:sz w:val="56"/>
          <w:szCs w:val="56"/>
        </w:rPr>
      </w:pPr>
    </w:p>
    <w:p w:rsidR="00281BB7" w:rsidRPr="00281BB7" w:rsidRDefault="00281BB7">
      <w:pPr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281BB7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                    </w:t>
      </w:r>
      <w:r w:rsidR="00FF3A28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  </w:t>
      </w:r>
    </w:p>
    <w:p w:rsidR="00281BB7" w:rsidRPr="00281BB7" w:rsidRDefault="00281BB7">
      <w:pPr>
        <w:rPr>
          <w:rFonts w:ascii="Times New Roman" w:hAnsi="Times New Roman" w:cs="Times New Roman"/>
          <w:b/>
          <w:color w:val="4F81BD" w:themeColor="accent1"/>
          <w:sz w:val="56"/>
          <w:szCs w:val="56"/>
        </w:rPr>
      </w:pPr>
    </w:p>
    <w:sectPr w:rsidR="00281BB7" w:rsidRPr="00281BB7" w:rsidSect="001A0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941C2"/>
    <w:multiLevelType w:val="multilevel"/>
    <w:tmpl w:val="1F9C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1822"/>
    <w:rsid w:val="000155E3"/>
    <w:rsid w:val="000266DB"/>
    <w:rsid w:val="001A0B51"/>
    <w:rsid w:val="002361CC"/>
    <w:rsid w:val="0024071C"/>
    <w:rsid w:val="00281BB7"/>
    <w:rsid w:val="0030244C"/>
    <w:rsid w:val="00323084"/>
    <w:rsid w:val="00421F20"/>
    <w:rsid w:val="00461B55"/>
    <w:rsid w:val="005C2246"/>
    <w:rsid w:val="00703D6E"/>
    <w:rsid w:val="007B23A8"/>
    <w:rsid w:val="007E052D"/>
    <w:rsid w:val="00801822"/>
    <w:rsid w:val="008723E1"/>
    <w:rsid w:val="0091796F"/>
    <w:rsid w:val="00942ACF"/>
    <w:rsid w:val="009E69AD"/>
    <w:rsid w:val="00AD4231"/>
    <w:rsid w:val="00B6010D"/>
    <w:rsid w:val="00B778F5"/>
    <w:rsid w:val="00D052C3"/>
    <w:rsid w:val="00D42CC4"/>
    <w:rsid w:val="00DB209B"/>
    <w:rsid w:val="00DC1DC0"/>
    <w:rsid w:val="00E35EDC"/>
    <w:rsid w:val="00E4655C"/>
    <w:rsid w:val="00EF4796"/>
    <w:rsid w:val="00F512F3"/>
    <w:rsid w:val="00FF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51"/>
  </w:style>
  <w:style w:type="paragraph" w:styleId="Heading4">
    <w:name w:val="heading 4"/>
    <w:basedOn w:val="Normal"/>
    <w:link w:val="Heading4Char"/>
    <w:uiPriority w:val="9"/>
    <w:qFormat/>
    <w:rsid w:val="00801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0182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1822"/>
    <w:rPr>
      <w:strike w:val="0"/>
      <w:dstrike w:val="0"/>
      <w:color w:val="886353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01822"/>
    <w:rPr>
      <w:b/>
      <w:bCs/>
    </w:rPr>
  </w:style>
  <w:style w:type="character" w:styleId="Emphasis">
    <w:name w:val="Emphasis"/>
    <w:basedOn w:val="DefaultParagraphFont"/>
    <w:uiPriority w:val="20"/>
    <w:qFormat/>
    <w:rsid w:val="0080182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159">
          <w:marLeft w:val="0"/>
          <w:marRight w:val="0"/>
          <w:marTop w:val="0"/>
          <w:marBottom w:val="0"/>
          <w:divBdr>
            <w:top w:val="single" w:sz="6" w:space="0" w:color="003399"/>
            <w:left w:val="single" w:sz="6" w:space="0" w:color="003399"/>
            <w:bottom w:val="single" w:sz="6" w:space="0" w:color="003399"/>
            <w:right w:val="single" w:sz="6" w:space="0" w:color="003399"/>
          </w:divBdr>
          <w:divsChild>
            <w:div w:id="766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single" w:sz="36" w:space="0" w:color="FFFFFF"/>
                <w:right w:val="none" w:sz="0" w:space="0" w:color="auto"/>
              </w:divBdr>
              <w:divsChild>
                <w:div w:id="570894970">
                  <w:marLeft w:val="2325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4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1353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olybooks.com/wp-content/uploads/04.SacredBooksEast.VarOrSch.v4.Muller.Zor_.Darmesteter.ZendAvesta.p1.2nd.1880.1895..pdf" TargetMode="External"/><Relationship Id="rId18" Type="http://schemas.openxmlformats.org/officeDocument/2006/relationships/hyperlink" Target="http://www.holybooks.com/bhagavad-gita-three-modern-translations/" TargetMode="External"/><Relationship Id="rId26" Type="http://schemas.openxmlformats.org/officeDocument/2006/relationships/hyperlink" Target="http://www.holybooks.com/wp-content/uploads/16.SacredBooksEast.VarOrSch.v16.Muller.China_.Legge_.SacBksChina.TxtConfuc.p2.YiKing.Oxf_.1882..pdf" TargetMode="External"/><Relationship Id="rId39" Type="http://schemas.openxmlformats.org/officeDocument/2006/relationships/hyperlink" Target="http://www.holybooks.com/wp-content/uploads/29.SacredBooksEast.VarOrSch.v29.Muller.Hindu_.Oldenberg.GrihSut.RulesVedDomCer.p1.SankAsvParKhad.Oxf_.1886..pdf" TargetMode="External"/><Relationship Id="rId21" Type="http://schemas.openxmlformats.org/officeDocument/2006/relationships/hyperlink" Target="http://www.holybooks.com/wp-content/uploads/11.SacredBooksEast.VarOrSch.v11.Muller.Bud_.Davids.BudSut.TrPali.Oxf_.1881..pdf" TargetMode="External"/><Relationship Id="rId34" Type="http://schemas.openxmlformats.org/officeDocument/2006/relationships/hyperlink" Target="http://www.holybooks.com/wp-content/uploads/24.SacredBooksEast.VarOrSch.v24.Muller.Zor_.West_.PahlTxt.p3.DinMainKhirSikGumVigSadDar.Oxf_.1884..pdf" TargetMode="External"/><Relationship Id="rId42" Type="http://schemas.openxmlformats.org/officeDocument/2006/relationships/hyperlink" Target="http://www.holybooks.com/wp-content/uploads/32.SacredBooksEast.VarOrSch.v32.Muller.Hindu_.Mull_.VedicHymns.p1.HymnsMarRudVayVat.Oxf_.1891..pdf" TargetMode="External"/><Relationship Id="rId47" Type="http://schemas.openxmlformats.org/officeDocument/2006/relationships/hyperlink" Target="http://www.holybooks.com/wp-content/uploads/37.SacredBooksEast.VarOrSch.v37.Muller.Zor_.West_.PahlaviTxts.p4.ContNasks.Oxf_.1892..pdf" TargetMode="External"/><Relationship Id="rId50" Type="http://schemas.openxmlformats.org/officeDocument/2006/relationships/hyperlink" Target="http://www.holybooks.com/wp-content/uploads/40.SacredBooksEast.VarOrSch.v40.Muller.China_.Legge_.SacBksChina.TxtTao.p2.WK_.b18..33.TTAR_.Ap_.Oxf_.1891..pdf" TargetMode="External"/><Relationship Id="rId55" Type="http://schemas.openxmlformats.org/officeDocument/2006/relationships/hyperlink" Target="http://www.holybooks.com/wp-content/uploads/45.SacredBooksEast.VarOrSch.v45.Muller.Jain_.Jacobi.GainaSut.TrPrakr.p2.UttarSutSutrak.Oxf_.1895..pdf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en.wikipedia.org/wiki/Max_M%C3%BClle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olybooks.com/wp-content/uploads/07.SacredBooksEast.VarOrSch.v7.Muller.Hindu_.Jolly_.InstitYishnu.Oxf_.1880..pdf" TargetMode="External"/><Relationship Id="rId20" Type="http://schemas.openxmlformats.org/officeDocument/2006/relationships/hyperlink" Target="http://www.holybooks.com/wp-content/uploads/10.SacredBooksEast.VarOrSch.v10.Muller.Bud_.Mull_.Fausb_.p1.Dhamm_.p2.SutNip.TrPali.Oxf_.1881..pdf" TargetMode="External"/><Relationship Id="rId29" Type="http://schemas.openxmlformats.org/officeDocument/2006/relationships/hyperlink" Target="http://www.holybooks.com/wp-content/uploads/19.SacredBooksEast.VarOrSch.v19.Muller.Bud_.Dharmarasha.Beal_.LifBudd.AsvagBodhis.SanskChinEng.Oxf_.1883..pdf" TargetMode="External"/><Relationship Id="rId41" Type="http://schemas.openxmlformats.org/officeDocument/2006/relationships/hyperlink" Target="http://www.holybooks.com/wp-content/uploads/31.SacredBooksEast.VarOrSch.v31.Muller.Zor_.Mills_.ZendAvesta.p3.YasVisAfriGahs.MiscFrag.Oxf_.1887..pdf" TargetMode="External"/><Relationship Id="rId54" Type="http://schemas.openxmlformats.org/officeDocument/2006/relationships/hyperlink" Target="http://www.holybooks.com/wp-content/uploads/44.SacredBooksEast.VarOrSch.v44.Muller.Hindu_.Eggeling.SatapBrahm.TxtMadhSch.p5.b11..14.Oxf_.1900..pdf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holybooks.com/wp-content/uploads/02.SacredBooksEast.VarOrSch.v4v5v6v7v8v9comb.Muller.Darm_.West_.Palm_.Joll_.Oxf_.1880.1895.1898..pdf" TargetMode="External"/><Relationship Id="rId24" Type="http://schemas.openxmlformats.org/officeDocument/2006/relationships/hyperlink" Target="http://www.holybooks.com/wp-content/uploads/14.SacredBooksEast.VarOrSch.v14.Muller.Zor_.Buhler.SacLawsAryas.SchApasGautVaisBaud.Oxf_.1882..pdf" TargetMode="External"/><Relationship Id="rId32" Type="http://schemas.openxmlformats.org/officeDocument/2006/relationships/hyperlink" Target="http://www.holybooks.com/wp-content/uploads/22.SacredBooksEast.VarOrSch.v22.Muller.Jain_.Jacobi.GainaSut.Prakrit.p1.AkarSut.KalSut.Oxf_.1884..pdf" TargetMode="External"/><Relationship Id="rId37" Type="http://schemas.openxmlformats.org/officeDocument/2006/relationships/hyperlink" Target="http://www.holybooks.com/wp-content/uploads/27.SacredBooksEast.VarOrSchv27.Muller.China_.Legge_.SacBksChina.TxtConfuc.p3.LiKi1_..10.Oxf_.1885..pdf" TargetMode="External"/><Relationship Id="rId40" Type="http://schemas.openxmlformats.org/officeDocument/2006/relationships/hyperlink" Target="http://www.holybooks.com/wp-content/uploads/30.SacredBooksEast.VarOrSch.v30.Muller.Hindu_.Oldenberg.Mull_.GrihSut.RulesVedDomCer.p2.GobHirApas.Oxf_.1892..pdf" TargetMode="External"/><Relationship Id="rId45" Type="http://schemas.openxmlformats.org/officeDocument/2006/relationships/hyperlink" Target="http://www.holybooks.com/wp-content/uploads/35.SacredBooksEast.VarOrSch.v35.Muller.Hindu_.Davids.QuesKingMilinda.TrPali.Oxf_.1890..pdf" TargetMode="External"/><Relationship Id="rId53" Type="http://schemas.openxmlformats.org/officeDocument/2006/relationships/hyperlink" Target="http://www.holybooks.com/wp-content/uploads/43.SacredBooksEast.VarOrSch.v43.Muller.Hindu_.Eggeling.SatapBrahm.TxtMadhSch.p4.b8..10.Oxf_.1897..pdf" TargetMode="External"/><Relationship Id="rId58" Type="http://schemas.openxmlformats.org/officeDocument/2006/relationships/hyperlink" Target="http://www.holybooks.com/wp-content/uploads/48.SacredBooksEast.VarOrSch.v48.Muller.Hindu_.Thibaut.VedanSut.CommRam.p3.Oxf_.1904..pdf" TargetMode="External"/><Relationship Id="rId5" Type="http://schemas.openxmlformats.org/officeDocument/2006/relationships/hyperlink" Target="http://www.holybooks.com/wp-content/uploads/Sacred-Books-of-the-East-free-pdf-download.jpg" TargetMode="External"/><Relationship Id="rId15" Type="http://schemas.openxmlformats.org/officeDocument/2006/relationships/hyperlink" Target="http://www.holybooks.com/wp-content/uploads/06.SacredBooksEast.VarOrSch.v6.Muller.Islam_.Palmer.Ch1_..Ch16.p1.Oxf_.1880..pdf" TargetMode="External"/><Relationship Id="rId23" Type="http://schemas.openxmlformats.org/officeDocument/2006/relationships/hyperlink" Target="http://www.holybooks.com/wp-content/uploads/13.SacredBooksEast.VarOrSch.v13.Muller.Hindu_.Davids.Oldenberg.p1.Patim_.Mahav_.1..4.Oxf_.1881..pdf" TargetMode="External"/><Relationship Id="rId28" Type="http://schemas.openxmlformats.org/officeDocument/2006/relationships/hyperlink" Target="http://www.holybooks.com/wp-content/uploads/18.SacredBooksEast.VarOrSch.v18.Muller.Zor_.West_.PahlaviTxt.p2.Dadis_.EpisManus.Oxf_.1882..pdf" TargetMode="External"/><Relationship Id="rId36" Type="http://schemas.openxmlformats.org/officeDocument/2006/relationships/hyperlink" Target="http://www.holybooks.com/wp-content/uploads/26.SacredBooksEast.VarOrSch.v26.Muller.Jain_.Eggeling.SatapBrahm.TxtMadhSch.p2.b3b4.Oxf_.1885..pdf" TargetMode="External"/><Relationship Id="rId49" Type="http://schemas.openxmlformats.org/officeDocument/2006/relationships/hyperlink" Target="http://www.holybooks.com/wp-content/uploads/39.SacredBooksEast.VarOrSch.v39.Muller.China_.Legge_.SacBksChina.TxtTao.p1.TaoTeKi.WK_.b1..17.Oxf_.1891..pdf" TargetMode="External"/><Relationship Id="rId57" Type="http://schemas.openxmlformats.org/officeDocument/2006/relationships/hyperlink" Target="http://www.holybooks.com/wp-content/uploads/47.SacredBooksEast.VarOrSch.V47.Muller.Zor_.West_.p5.MarvelsZoroast.Oxf_.1897..pdf" TargetMode="External"/><Relationship Id="rId61" Type="http://schemas.openxmlformats.org/officeDocument/2006/relationships/hyperlink" Target="http://www.prague-humanities-institute.com" TargetMode="External"/><Relationship Id="rId10" Type="http://schemas.openxmlformats.org/officeDocument/2006/relationships/hyperlink" Target="http://www.holybooks.com/wp-content/uploads/01.SacredBooksEast.VarOrSch.v1v2v3comb.Muller.Buhler.Legge_.Oxf_.1879.1897..pdf" TargetMode="External"/><Relationship Id="rId19" Type="http://schemas.openxmlformats.org/officeDocument/2006/relationships/hyperlink" Target="http://www.holybooks.com/wp-content/uploads/09.SacredBooksEast.VarOrSch.v9.Muller.Islam_.Palmer.Ch17..Ch114.p2.Oxf_.1880..pdf" TargetMode="External"/><Relationship Id="rId31" Type="http://schemas.openxmlformats.org/officeDocument/2006/relationships/hyperlink" Target="http://www.holybooks.com/wp-content/uploads/21.SacredBooksEast.VarOrSch.v21.Muller.Bud_.Kern_.SaddharmaPund.LotusTrueLaw.Oxf_.1884..pdf" TargetMode="External"/><Relationship Id="rId44" Type="http://schemas.openxmlformats.org/officeDocument/2006/relationships/hyperlink" Target="http://www.holybooks.com/wp-content/uploads/34.SacredBooksEast.VarOrSch.v34.Muller.Hindu_.Thibaut.VedantaSut.CommSankar.p1.Oxf_.1890..pdf" TargetMode="External"/><Relationship Id="rId52" Type="http://schemas.openxmlformats.org/officeDocument/2006/relationships/hyperlink" Target="http://www.holybooks.com/wp-content/uploads/42.SacredBooksEast.VarOrSch.v42.Muller.Hindu_.Bloomfield.HymnsAtharvaVed.ExRitBkCom.Oxf_.1897..pdf" TargetMode="External"/><Relationship Id="rId6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holybooks.com/wp-content/uploads/05.SacredBooksEast.VarOrSch.v5.Muller.Zor_.West_.PahlaviTxts.p1.Oxf_.1880..pdf" TargetMode="External"/><Relationship Id="rId22" Type="http://schemas.openxmlformats.org/officeDocument/2006/relationships/hyperlink" Target="http://www.holybooks.com/wp-content/uploads/12.SacredBooksEast.VarOrSch.v12.Muller.Hindu_.Eggeling.TxtMadhyandSch.SatBrah.p1b1b2.Oxf1882..pdf" TargetMode="External"/><Relationship Id="rId27" Type="http://schemas.openxmlformats.org/officeDocument/2006/relationships/hyperlink" Target="http://www.holybooks.com/wp-content/uploads/17.SacredBooksEast.VarOrSch.v17.Muller.Hindu_.Davids.Oldenberg.VinyTxt.TrPali.p2.Mah5_..10.Kull1_..3..Oxf_.1882..pdf" TargetMode="External"/><Relationship Id="rId30" Type="http://schemas.openxmlformats.org/officeDocument/2006/relationships/hyperlink" Target="http://www.holybooks.com/wp-content/uploads/20.SacredBooksEast.VarOrSch.v20.Muller.Hindu_.Davids.Oldenberg.VinayaTxt.TrPali.p3.Kull4_..12.Oxf_.1885..pdf" TargetMode="External"/><Relationship Id="rId35" Type="http://schemas.openxmlformats.org/officeDocument/2006/relationships/hyperlink" Target="http://www.holybooks.com/wp-content/uploads/25.SacredBooksEast.VarOrSch.v25.Muller.Hindu_.Buhler.LawsManu.Ext7Comm.Oxf_.1886..pdf" TargetMode="External"/><Relationship Id="rId43" Type="http://schemas.openxmlformats.org/officeDocument/2006/relationships/hyperlink" Target="http://www.holybooks.com/wp-content/uploads/33.SacredBooksEast.VarOrSch.v33.Muller.Hindu_.Jolly_.MinorLawBooks.p1.NarBrih.Oxf_.1889..pdf" TargetMode="External"/><Relationship Id="rId48" Type="http://schemas.openxmlformats.org/officeDocument/2006/relationships/hyperlink" Target="http://www.holybooks.com/wp-content/uploads/38.SacredBooksEast.VarOrSch.v38.Muller.Hindu_.Thibaut.VedantaSut.CommSankarak.p2.Oxf_.1896..pdf" TargetMode="External"/><Relationship Id="rId56" Type="http://schemas.openxmlformats.org/officeDocument/2006/relationships/hyperlink" Target="http://www.holybooks.com/wp-content/uploads/46.SacredBooksEast.VarOrSch.v46.Muller.Hindu_.Oldenberg.VedHymns.p2.HymnAgni.Oxf_.1897..pdf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holybooks.com/wp-content/uploads/41.SacredBooksEast.VarOrSch.v41.Muller.Hindu_.Eggeling.SatapBrahm.TxtMadhSch.p3.b5..7.Oxf_.1894.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holybooks.com/wp-content/uploads/03.SacredBooksEast.VarOrSch.v10v11v12v13v14v15comb.Muller.Fausb_.Dav_.Egg_.Old_.Buh_.Oxf_.1881.82.1884..pdf" TargetMode="External"/><Relationship Id="rId17" Type="http://schemas.openxmlformats.org/officeDocument/2006/relationships/hyperlink" Target="http://www.holybooks.com/wp-content/uploads/08.SacredBooksEast.VarOrSch.v8.Muller.Hindu_.Telang.BhagGita.Sanat_.Anug_.2nd.Oxf_.1880.1898..pdf" TargetMode="External"/><Relationship Id="rId25" Type="http://schemas.openxmlformats.org/officeDocument/2006/relationships/hyperlink" Target="http://www.holybooks.com/wp-content/uploads/15.SacredBooksEast.VarOrSch.v15.Muller.Hindu_.Mull_.Upanishads.p2.KathMundTait..Mait_.Oxf_.1884..pdf" TargetMode="External"/><Relationship Id="rId33" Type="http://schemas.openxmlformats.org/officeDocument/2006/relationships/hyperlink" Target="http://www.holybooks.com/wp-content/uploads/23.SacredBooksEast.VarOrSch.v23.Muller.Zor_.Darmesteter.ZendAvesta.p2.SirYastsNya.Oxf_.1883..pdf" TargetMode="External"/><Relationship Id="rId38" Type="http://schemas.openxmlformats.org/officeDocument/2006/relationships/hyperlink" Target="http://www.holybooks.com/wp-content/uploads/28.SacredBooksEast.VarOrSch.v28.Muller.China_.Legge_.SacBksChina.TxtConfuc.p4.LiKi11..46.Oxf_.1885..pdf" TargetMode="External"/><Relationship Id="rId46" Type="http://schemas.openxmlformats.org/officeDocument/2006/relationships/hyperlink" Target="http://www.holybooks.com/wp-content/uploads/36.SacredBooksEast.VarOrSch.v36.Muller.Bud_.Davids.QuestKingMelinda.TrPali.p2.Oxf_.1894..pdf" TargetMode="External"/><Relationship Id="rId59" Type="http://schemas.openxmlformats.org/officeDocument/2006/relationships/hyperlink" Target="http://www.holybooks.com/wp-content/uploads/49.SacredBooksEast.VarOrSch.v49.Muller.Bud_.Cowell.Mull_.Junjiro.BuddMahTxt.p1.BudKaAsv.Snsk_.Oxf_.1894.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degray</dc:creator>
  <cp:lastModifiedBy>robert degray</cp:lastModifiedBy>
  <cp:revision>19</cp:revision>
  <dcterms:created xsi:type="dcterms:W3CDTF">2013-01-14T15:26:00Z</dcterms:created>
  <dcterms:modified xsi:type="dcterms:W3CDTF">2013-04-16T11:06:00Z</dcterms:modified>
</cp:coreProperties>
</file>